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DA5A2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85875" cy="1196975"/>
            <wp:effectExtent l="0" t="0" r="9525" b="31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8573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8F0CF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BRAF</w:t>
      </w:r>
      <w:r>
        <w:rPr>
          <w:b/>
          <w:bCs/>
          <w:spacing w:val="5"/>
          <w:sz w:val="27"/>
          <w:szCs w:val="27"/>
        </w:rPr>
        <w:t xml:space="preserve"> (V600A)</w:t>
      </w:r>
    </w:p>
    <w:p w14:paraId="77F76A0E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 xml:space="preserve">CR-M </w:t>
      </w:r>
      <w:r>
        <w:rPr>
          <w:spacing w:val="-1"/>
        </w:rPr>
        <w:t>26199</w:t>
      </w:r>
    </w:p>
    <w:p w14:paraId="07BA65B5">
      <w:pPr>
        <w:pStyle w:val="2"/>
        <w:spacing w:before="122" w:line="189" w:lineRule="auto"/>
        <w:ind w:left="548"/>
      </w:pPr>
      <w:r>
        <w:rPr>
          <w:b/>
          <w:bCs/>
          <w:spacing w:val="-2"/>
        </w:rPr>
        <w:t>Gene</w:t>
      </w:r>
      <w:r>
        <w:rPr>
          <w:b/>
          <w:bCs/>
          <w:spacing w:val="31"/>
          <w:w w:val="101"/>
        </w:rPr>
        <w:t xml:space="preserve"> </w:t>
      </w:r>
      <w:r>
        <w:rPr>
          <w:b/>
          <w:bCs/>
          <w:spacing w:val="-2"/>
        </w:rPr>
        <w:t xml:space="preserve">Symbol: </w:t>
      </w:r>
      <w:r>
        <w:rPr>
          <w:spacing w:val="-2"/>
        </w:rPr>
        <w:t>BRAF, BRAF1, RAFB1</w:t>
      </w:r>
    </w:p>
    <w:p w14:paraId="2B8BE3BB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Anti-BRAF (V600A) Mouse M</w:t>
      </w:r>
      <w:r>
        <w:rPr>
          <w:spacing w:val="-1"/>
        </w:rPr>
        <w:t>onoclonal Antibody</w:t>
      </w:r>
    </w:p>
    <w:p w14:paraId="2513D0EF">
      <w:pPr>
        <w:spacing w:before="150"/>
      </w:pPr>
    </w:p>
    <w:p w14:paraId="72C12AE1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0C92553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t>BRAF belongs to a family</w:t>
      </w:r>
      <w:r>
        <w:rPr>
          <w:spacing w:val="8"/>
        </w:rPr>
        <w:t xml:space="preserve"> </w:t>
      </w:r>
      <w:r>
        <w:rPr>
          <w:spacing w:val="-1"/>
        </w:rPr>
        <w:t>of</w:t>
      </w:r>
    </w:p>
    <w:p w14:paraId="421D0492">
      <w:pPr>
        <w:pStyle w:val="2"/>
        <w:spacing w:before="118" w:line="193" w:lineRule="auto"/>
        <w:ind w:left="550"/>
      </w:pPr>
      <w:r>
        <w:t>serine-threonine protein kinases. As a p</w:t>
      </w:r>
      <w:r>
        <w:rPr>
          <w:spacing w:val="-1"/>
        </w:rPr>
        <w:t>art of</w:t>
      </w:r>
      <w:r>
        <w:rPr>
          <w:spacing w:val="-11"/>
        </w:rPr>
        <w:t xml:space="preserve"> </w:t>
      </w:r>
      <w:r>
        <w:rPr>
          <w:spacing w:val="-1"/>
        </w:rPr>
        <w:t>a</w:t>
      </w:r>
    </w:p>
    <w:p w14:paraId="4FB6DACC">
      <w:pPr>
        <w:pStyle w:val="2"/>
        <w:spacing w:before="118" w:line="294" w:lineRule="auto"/>
        <w:ind w:left="539" w:right="393" w:firstLine="10"/>
      </w:pPr>
      <w:r>
        <w:t>signaling pathway known as the</w:t>
      </w:r>
      <w:r>
        <w:rPr>
          <w:spacing w:val="-1"/>
        </w:rPr>
        <w:t xml:space="preserve"> the RAS/MAPK</w:t>
      </w:r>
      <w:r>
        <w:t xml:space="preserve"> pathway, it plays an import</w:t>
      </w:r>
      <w:r>
        <w:rPr>
          <w:spacing w:val="-1"/>
        </w:rPr>
        <w:t>ant part in many</w:t>
      </w:r>
    </w:p>
    <w:p w14:paraId="26631ED0">
      <w:pPr>
        <w:pStyle w:val="2"/>
        <w:spacing w:before="32" w:line="193" w:lineRule="auto"/>
        <w:ind w:left="547"/>
      </w:pPr>
      <w:r>
        <w:t>cellular processes. The proce</w:t>
      </w:r>
      <w:r>
        <w:rPr>
          <w:spacing w:val="-1"/>
        </w:rPr>
        <w:t>sses include cell</w:t>
      </w:r>
    </w:p>
    <w:p w14:paraId="2BAB7876">
      <w:pPr>
        <w:pStyle w:val="2"/>
        <w:spacing w:before="119" w:line="296" w:lineRule="auto"/>
        <w:ind w:left="540" w:right="546" w:hanging="1"/>
      </w:pPr>
      <w:r>
        <w:t>proliferation, differentiation and transcriptio</w:t>
      </w:r>
      <w:r>
        <w:rPr>
          <w:spacing w:val="-1"/>
        </w:rPr>
        <w:t>nal</w:t>
      </w:r>
      <w:r>
        <w:t xml:space="preserve"> regulation. Mutations in the</w:t>
      </w:r>
      <w:r>
        <w:rPr>
          <w:spacing w:val="-1"/>
        </w:rPr>
        <w:t xml:space="preserve"> BRAF gene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t xml:space="preserve">  diseases. Inherited mu</w:t>
      </w:r>
      <w:r>
        <w:rPr>
          <w:spacing w:val="-1"/>
        </w:rPr>
        <w:t>tations in BRAF</w:t>
      </w:r>
      <w:r>
        <w:rPr>
          <w:spacing w:val="15"/>
          <w:w w:val="101"/>
        </w:rPr>
        <w:t xml:space="preserve"> </w:t>
      </w:r>
      <w:r>
        <w:rPr>
          <w:spacing w:val="-1"/>
        </w:rPr>
        <w:t>cause</w:t>
      </w:r>
    </w:p>
    <w:p w14:paraId="2FE02E94">
      <w:pPr>
        <w:pStyle w:val="2"/>
        <w:spacing w:before="41" w:line="193" w:lineRule="auto"/>
        <w:ind w:left="547"/>
      </w:pPr>
      <w:r>
        <w:rPr>
          <w:spacing w:val="-1"/>
        </w:rPr>
        <w:t>cardiofaciocutaneous syndrome. Acquired</w:t>
      </w:r>
    </w:p>
    <w:p w14:paraId="64FD01A3">
      <w:pPr>
        <w:pStyle w:val="2"/>
        <w:spacing w:before="118" w:line="310" w:lineRule="auto"/>
        <w:ind w:left="543" w:right="485" w:hanging="2"/>
      </w:pPr>
      <w:r>
        <w:rPr>
          <w:spacing w:val="-1"/>
        </w:rPr>
        <w:t>mutations in BRAF have been</w:t>
      </w:r>
      <w:r>
        <w:rPr>
          <w:spacing w:val="30"/>
        </w:rPr>
        <w:t xml:space="preserve"> </w:t>
      </w:r>
      <w:r>
        <w:rPr>
          <w:spacing w:val="-1"/>
        </w:rPr>
        <w:t>found</w:t>
      </w:r>
      <w:r>
        <w:rPr>
          <w:spacing w:val="11"/>
        </w:rPr>
        <w:t xml:space="preserve"> </w:t>
      </w:r>
      <w:r>
        <w:rPr>
          <w:spacing w:val="-1"/>
        </w:rPr>
        <w:t>in cancers.</w:t>
      </w:r>
      <w:r>
        <w:t xml:space="preserve"> </w:t>
      </w: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75B88BBB">
      <w:pPr>
        <w:pStyle w:val="2"/>
        <w:spacing w:line="294" w:lineRule="auto"/>
        <w:ind w:left="541" w:right="838" w:firstLine="4"/>
      </w:pPr>
      <w:r>
        <w:t>internal region of</w:t>
      </w:r>
      <w:r>
        <w:rPr>
          <w:spacing w:val="-10"/>
        </w:rPr>
        <w:t xml:space="preserve"> </w:t>
      </w:r>
      <w:r>
        <w:t>BRAF which includes the mutation</w:t>
      </w:r>
      <w:r>
        <w:rPr>
          <w:spacing w:val="1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V</w:t>
      </w:r>
      <w:r>
        <w:rPr>
          <w:spacing w:val="1"/>
        </w:rPr>
        <w:t xml:space="preserve">600A,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55C2F02C">
      <w:pPr>
        <w:pStyle w:val="2"/>
        <w:spacing w:before="36" w:line="291" w:lineRule="auto"/>
        <w:ind w:left="544" w:right="911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 xml:space="preserve">ELISA, </w:t>
      </w:r>
      <w:r>
        <w:rPr>
          <w:spacing w:val="-2"/>
        </w:rPr>
        <w:t>WB,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42B0219E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72797D86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A352FCB">
      <w:pPr>
        <w:pStyle w:val="2"/>
        <w:spacing w:before="121" w:line="189" w:lineRule="auto"/>
        <w:ind w:left="545"/>
      </w:pPr>
      <w:r>
        <w:rPr>
          <w:spacing w:val="-3"/>
        </w:rPr>
        <w:t>IF:</w:t>
      </w:r>
      <w:r>
        <w:rPr>
          <w:spacing w:val="2"/>
        </w:rPr>
        <w:t xml:space="preserve">            </w:t>
      </w:r>
      <w:r>
        <w:rPr>
          <w:spacing w:val="-3"/>
        </w:rPr>
        <w:t>1:50-1:100</w:t>
      </w:r>
    </w:p>
    <w:p w14:paraId="38EA9E54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1:25-1:100</w:t>
      </w:r>
    </w:p>
    <w:p w14:paraId="527C23AA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3F9564B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381B4CA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94D4F6E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35FE57AF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4D3F5876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144F9AB5">
      <w:pPr>
        <w:pStyle w:val="2"/>
        <w:spacing w:before="107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6E91EB8E">
      <w:pPr>
        <w:pStyle w:val="2"/>
        <w:spacing w:before="35" w:line="294" w:lineRule="auto"/>
        <w:ind w:left="539" w:right="475" w:firstLine="11"/>
      </w:pPr>
      <w:r>
        <w:rPr>
          <w:b/>
          <w:bCs/>
        </w:rPr>
        <w:t xml:space="preserve">Species Reactivity: </w:t>
      </w:r>
      <w:r>
        <w:t>Rec</w:t>
      </w:r>
      <w:r>
        <w:rPr>
          <w:spacing w:val="-1"/>
        </w:rPr>
        <w:t>ognizes V600A</w:t>
      </w:r>
      <w:r>
        <w:rPr>
          <w:spacing w:val="-11"/>
        </w:rPr>
        <w:t xml:space="preserve"> </w:t>
      </w:r>
      <w:r>
        <w:rPr>
          <w:spacing w:val="-1"/>
        </w:rPr>
        <w:t>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BRAF</w:t>
      </w:r>
      <w:r>
        <w:rPr>
          <w:spacing w:val="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vertebrates</w:t>
      </w:r>
      <w:r>
        <w:rPr>
          <w:spacing w:val="2"/>
        </w:rPr>
        <w:t>.</w:t>
      </w:r>
    </w:p>
    <w:p w14:paraId="77183418">
      <w:pPr>
        <w:pStyle w:val="2"/>
        <w:spacing w:before="33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8C633B8">
      <w:pPr>
        <w:spacing w:line="32" w:lineRule="exact"/>
      </w:pPr>
    </w:p>
    <w:p w14:paraId="47930E2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BAF472E">
      <w:pPr>
        <w:spacing w:line="293" w:lineRule="auto"/>
        <w:rPr>
          <w:rFonts w:ascii="Arial"/>
          <w:sz w:val="21"/>
        </w:rPr>
      </w:pPr>
    </w:p>
    <w:p w14:paraId="40B80FB8">
      <w:pPr>
        <w:pStyle w:val="2"/>
        <w:spacing w:before="61" w:line="186" w:lineRule="auto"/>
        <w:ind w:left="2"/>
      </w:pPr>
      <w:r>
        <w:rPr>
          <w:b/>
          <w:bCs/>
          <w:spacing w:val="-2"/>
        </w:rPr>
        <w:t>Western blot:</w:t>
      </w:r>
    </w:p>
    <w:p w14:paraId="1CC4F9A0">
      <w:pPr>
        <w:spacing w:before="117" w:line="4512" w:lineRule="exact"/>
        <w:ind w:firstLine="29"/>
      </w:pPr>
      <w:r>
        <w:rPr>
          <w:position w:val="-90"/>
        </w:rPr>
        <w:drawing>
          <wp:inline distT="0" distB="0" distL="0" distR="0">
            <wp:extent cx="2895600" cy="28651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0781D">
      <w:pPr>
        <w:pStyle w:val="2"/>
        <w:spacing w:before="173" w:line="293" w:lineRule="auto"/>
        <w:ind w:left="4" w:right="928" w:hanging="2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BRAF</w:t>
      </w:r>
      <w:r>
        <w:rPr>
          <w:b/>
          <w:bCs/>
        </w:rPr>
        <w:t xml:space="preserve"> proteins. </w:t>
      </w:r>
      <w:r>
        <w:t>Purified His-tagged BRA</w:t>
      </w:r>
      <w:r>
        <w:rPr>
          <w:spacing w:val="-1"/>
        </w:rPr>
        <w:t>F (V600A)</w:t>
      </w:r>
    </w:p>
    <w:p w14:paraId="613F137F">
      <w:pPr>
        <w:pStyle w:val="2"/>
        <w:spacing w:before="31" w:line="294" w:lineRule="auto"/>
        <w:ind w:left="8" w:right="802" w:hanging="9"/>
      </w:pPr>
      <w:r>
        <w:rPr>
          <w:spacing w:val="-1"/>
        </w:rPr>
        <w:t>protein</w:t>
      </w:r>
      <w:r>
        <w:rPr>
          <w:spacing w:val="15"/>
          <w:w w:val="101"/>
        </w:rPr>
        <w:t xml:space="preserve"> </w:t>
      </w:r>
      <w:r>
        <w:rPr>
          <w:spacing w:val="-1"/>
        </w:rPr>
        <w:t>(lane</w:t>
      </w:r>
      <w:r>
        <w:rPr>
          <w:spacing w:val="27"/>
          <w:w w:val="101"/>
        </w:rPr>
        <w:t xml:space="preserve"> </w:t>
      </w:r>
      <w:r>
        <w:rPr>
          <w:spacing w:val="-1"/>
        </w:rPr>
        <w:t>1) , corresponding wildtype protein</w:t>
      </w:r>
      <w:r>
        <w:t xml:space="preserve"> </w:t>
      </w:r>
      <w:r>
        <w:rPr>
          <w:spacing w:val="-1"/>
        </w:rPr>
        <w:t>(lane 2)</w:t>
      </w:r>
      <w:r>
        <w:rPr>
          <w:spacing w:val="13"/>
        </w:rPr>
        <w:t xml:space="preserve"> </w:t>
      </w:r>
      <w:r>
        <w:rPr>
          <w:spacing w:val="-1"/>
        </w:rPr>
        <w:t>, His-tagged BRAF</w:t>
      </w:r>
      <w:r>
        <w:rPr>
          <w:spacing w:val="16"/>
        </w:rPr>
        <w:t xml:space="preserve"> </w:t>
      </w:r>
      <w:r>
        <w:rPr>
          <w:spacing w:val="-1"/>
        </w:rPr>
        <w:t>(V600R) protein</w:t>
      </w:r>
    </w:p>
    <w:p w14:paraId="7FE6C4C2">
      <w:pPr>
        <w:pStyle w:val="2"/>
        <w:spacing w:before="32" w:line="193" w:lineRule="auto"/>
        <w:ind w:left="9"/>
      </w:pPr>
      <w:r>
        <w:rPr>
          <w:spacing w:val="-1"/>
        </w:rPr>
        <w:t>(lane 3), His-tagged BRAF</w:t>
      </w:r>
      <w:r>
        <w:rPr>
          <w:spacing w:val="26"/>
        </w:rPr>
        <w:t xml:space="preserve"> </w:t>
      </w:r>
      <w:r>
        <w:rPr>
          <w:spacing w:val="-1"/>
        </w:rPr>
        <w:t>(V600M) protein</w:t>
      </w:r>
    </w:p>
    <w:p w14:paraId="2C3FBAD9">
      <w:pPr>
        <w:pStyle w:val="2"/>
        <w:spacing w:before="118" w:line="193" w:lineRule="auto"/>
        <w:ind w:left="9"/>
      </w:pPr>
      <w:r>
        <w:rPr>
          <w:spacing w:val="-1"/>
        </w:rPr>
        <w:t>(lane 4), His-tagged BRAF</w:t>
      </w:r>
      <w:r>
        <w:rPr>
          <w:spacing w:val="27"/>
        </w:rPr>
        <w:t xml:space="preserve"> </w:t>
      </w:r>
      <w:r>
        <w:rPr>
          <w:spacing w:val="-1"/>
        </w:rPr>
        <w:t>(V600K) protein</w:t>
      </w:r>
    </w:p>
    <w:p w14:paraId="46249024">
      <w:pPr>
        <w:pStyle w:val="2"/>
        <w:spacing w:before="118" w:line="193" w:lineRule="auto"/>
        <w:ind w:left="9"/>
      </w:pPr>
      <w:r>
        <w:rPr>
          <w:spacing w:val="-1"/>
        </w:rPr>
        <w:t>(lane 5), His-tagged BRAF</w:t>
      </w:r>
      <w:r>
        <w:rPr>
          <w:spacing w:val="27"/>
        </w:rPr>
        <w:t xml:space="preserve"> </w:t>
      </w:r>
      <w:r>
        <w:rPr>
          <w:spacing w:val="-1"/>
        </w:rPr>
        <w:t>(V600G) protein</w:t>
      </w:r>
    </w:p>
    <w:p w14:paraId="262DC132">
      <w:pPr>
        <w:pStyle w:val="2"/>
        <w:spacing w:before="118" w:line="193" w:lineRule="auto"/>
        <w:ind w:left="9"/>
      </w:pPr>
      <w:r>
        <w:rPr>
          <w:spacing w:val="-1"/>
        </w:rPr>
        <w:t>(lane 6), His-tagged BRAF</w:t>
      </w:r>
      <w:r>
        <w:rPr>
          <w:spacing w:val="27"/>
        </w:rPr>
        <w:t xml:space="preserve"> </w:t>
      </w:r>
      <w:r>
        <w:rPr>
          <w:spacing w:val="-1"/>
        </w:rPr>
        <w:t>(V600D) protein</w:t>
      </w:r>
    </w:p>
    <w:p w14:paraId="007A7454">
      <w:pPr>
        <w:pStyle w:val="2"/>
        <w:spacing w:before="116" w:line="300" w:lineRule="auto"/>
        <w:ind w:left="2" w:right="879" w:firstLine="6"/>
      </w:pPr>
      <w:r>
        <w:rPr>
          <w:spacing w:val="-1"/>
        </w:rPr>
        <w:t>(lane 7) and His-tagged</w:t>
      </w:r>
      <w:r>
        <w:rPr>
          <w:spacing w:val="16"/>
        </w:rPr>
        <w:t xml:space="preserve"> </w:t>
      </w:r>
      <w:r>
        <w:rPr>
          <w:spacing w:val="-1"/>
        </w:rPr>
        <w:t>BRAF</w:t>
      </w:r>
      <w:r>
        <w:rPr>
          <w:spacing w:val="11"/>
        </w:rPr>
        <w:t xml:space="preserve"> </w:t>
      </w:r>
      <w:r>
        <w:rPr>
          <w:spacing w:val="-1"/>
        </w:rPr>
        <w:t>(V600E) protein</w:t>
      </w:r>
      <w:r>
        <w:t xml:space="preserve"> (lane 8) were blotted wit</w:t>
      </w:r>
      <w:r>
        <w:rPr>
          <w:spacing w:val="-1"/>
        </w:rPr>
        <w:t>h anti-BRAF</w:t>
      </w:r>
      <w:r>
        <w:rPr>
          <w:spacing w:val="12"/>
        </w:rPr>
        <w:t xml:space="preserve"> </w:t>
      </w:r>
      <w:r>
        <w:rPr>
          <w:spacing w:val="-1"/>
        </w:rPr>
        <w:t>(V600A)</w:t>
      </w:r>
      <w:r>
        <w:t xml:space="preserve">  monoclonal antibody (Cat. #26199).</w:t>
      </w:r>
    </w:p>
    <w:p w14:paraId="45D475F1">
      <w:pPr>
        <w:spacing w:line="300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7835000A">
      <w:pPr>
        <w:spacing w:line="356" w:lineRule="auto"/>
        <w:rPr>
          <w:rFonts w:ascii="Arial"/>
          <w:sz w:val="21"/>
        </w:rPr>
      </w:pPr>
    </w:p>
    <w:p w14:paraId="78F78992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4BE17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5CF828BF">
      <w:pPr>
        <w:spacing w:line="150" w:lineRule="exact"/>
      </w:pPr>
    </w:p>
    <w:p w14:paraId="42B614A4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D2AB77B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0E954327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3855FD9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1D51EB8C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A926CE2">
      <w:pPr>
        <w:numPr>
          <w:ilvl w:val="0"/>
          <w:numId w:val="0"/>
        </w:num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  <w:bookmarkStart w:id="0" w:name="_GoBack"/>
      <w:bookmarkEnd w:id="0"/>
    </w:p>
    <w:p w14:paraId="28DF6868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761FA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5004C174">
      <w:pPr>
        <w:spacing w:before="239" w:line="4025" w:lineRule="exact"/>
        <w:ind w:firstLine="2890"/>
      </w:pPr>
      <w:r>
        <w:rPr>
          <w:position w:val="-80"/>
        </w:rPr>
        <w:drawing>
          <wp:inline distT="0" distB="0" distL="0" distR="0">
            <wp:extent cx="2451735" cy="255587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2281" cy="255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8DA2">
      <w:pPr>
        <w:spacing w:line="312" w:lineRule="auto"/>
        <w:rPr>
          <w:rFonts w:ascii="Arial"/>
          <w:sz w:val="21"/>
        </w:rPr>
      </w:pPr>
    </w:p>
    <w:p w14:paraId="5D6C4CBC">
      <w:pPr>
        <w:spacing w:line="4707" w:lineRule="exact"/>
        <w:ind w:firstLine="799"/>
      </w:pPr>
      <w:r>
        <w:rPr>
          <w:position w:val="-94"/>
        </w:rPr>
        <w:drawing>
          <wp:inline distT="0" distB="0" distL="0" distR="0">
            <wp:extent cx="5291455" cy="298831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92048" cy="298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0690">
      <w:pPr>
        <w:pStyle w:val="2"/>
        <w:spacing w:before="195" w:line="290" w:lineRule="auto"/>
        <w:ind w:left="543" w:right="1388"/>
      </w:pPr>
      <w:r>
        <w:rPr>
          <w:b/>
          <w:bCs/>
        </w:rPr>
        <w:t>Immunofluorescence of cells expressing BRAF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proteins wi</w:t>
      </w:r>
      <w:r>
        <w:rPr>
          <w:b/>
          <w:bCs/>
          <w:spacing w:val="-1"/>
        </w:rPr>
        <w:t>th anti-BRAF (V600A) antibody.</w:t>
      </w:r>
      <w:r>
        <w:rPr>
          <w:b/>
          <w:bCs/>
        </w:rPr>
        <w:t xml:space="preserve"> </w:t>
      </w:r>
      <w:r>
        <w:t>HEK293T cells were tra</w:t>
      </w:r>
      <w:r>
        <w:rPr>
          <w:spacing w:val="-1"/>
        </w:rPr>
        <w:t>nsfected with</w:t>
      </w:r>
    </w:p>
    <w:p w14:paraId="41BD1585">
      <w:pPr>
        <w:pStyle w:val="2"/>
        <w:spacing w:before="38" w:line="193" w:lineRule="auto"/>
        <w:ind w:left="539"/>
      </w:pPr>
      <w:r>
        <w:t>pCDNA3-GFP-BRAF (WT) plasmid, pCDNA3-GFP-BRAF (V600A) plas</w:t>
      </w:r>
      <w:r>
        <w:rPr>
          <w:spacing w:val="-1"/>
        </w:rPr>
        <w:t>mid,</w:t>
      </w:r>
    </w:p>
    <w:p w14:paraId="2158ABEC">
      <w:pPr>
        <w:pStyle w:val="2"/>
        <w:spacing w:before="118" w:line="193" w:lineRule="auto"/>
        <w:ind w:left="539"/>
      </w:pPr>
      <w:r>
        <w:t>pCDNA3-GFP-BRAF (V600D) plasmid, pCDNA3-GFP-BRAF (V600G) plas</w:t>
      </w:r>
      <w:r>
        <w:rPr>
          <w:spacing w:val="-1"/>
        </w:rPr>
        <w:t>mid</w:t>
      </w:r>
    </w:p>
    <w:p w14:paraId="5D839EED">
      <w:pPr>
        <w:pStyle w:val="2"/>
        <w:spacing w:before="119" w:line="294" w:lineRule="auto"/>
        <w:ind w:left="541" w:right="2334" w:hanging="2"/>
      </w:pPr>
      <w:r>
        <w:t>pCDNA3-GFP-BRAF (V600M) plasmid or pCDNA3-GFP-B</w:t>
      </w:r>
      <w:r>
        <w:rPr>
          <w:spacing w:val="-1"/>
        </w:rPr>
        <w:t>RAF</w:t>
      </w:r>
      <w:r>
        <w:rPr>
          <w:spacing w:val="17"/>
        </w:rPr>
        <w:t xml:space="preserve"> </w:t>
      </w:r>
      <w:r>
        <w:rPr>
          <w:spacing w:val="-1"/>
        </w:rPr>
        <w:t>(V600E) plasmid,</w:t>
      </w:r>
      <w:r>
        <w:t xml:space="preserve"> then fixed and stained with anti-BRAF</w:t>
      </w:r>
      <w:r>
        <w:rPr>
          <w:spacing w:val="11"/>
        </w:rPr>
        <w:t xml:space="preserve"> </w:t>
      </w:r>
      <w:r>
        <w:t>(V600A) monocl</w:t>
      </w:r>
      <w:r>
        <w:rPr>
          <w:spacing w:val="-1"/>
        </w:rPr>
        <w:t>onal antibody</w:t>
      </w:r>
      <w:r>
        <w:rPr>
          <w:spacing w:val="9"/>
        </w:rPr>
        <w:t xml:space="preserve"> </w:t>
      </w:r>
      <w:r>
        <w:rPr>
          <w:spacing w:val="-1"/>
        </w:rPr>
        <w:t>(Cat.</w:t>
      </w:r>
      <w:r>
        <w:rPr>
          <w:spacing w:val="4"/>
        </w:rPr>
        <w:t xml:space="preserve"> </w:t>
      </w:r>
      <w:r>
        <w:rPr>
          <w:spacing w:val="-1"/>
        </w:rPr>
        <w:t>#26199).</w:t>
      </w:r>
    </w:p>
    <w:p w14:paraId="5523A0BE">
      <w:pPr>
        <w:spacing w:line="433" w:lineRule="auto"/>
        <w:rPr>
          <w:rFonts w:ascii="Arial"/>
          <w:sz w:val="21"/>
        </w:rPr>
      </w:pPr>
    </w:p>
    <w:p w14:paraId="775CE19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D69F7">
    <w:pPr>
      <w:spacing w:after="49" w:line="207" w:lineRule="auto"/>
      <w:ind w:left="2074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b/>
        <w:bCs/>
        <w:spacing w:val="4"/>
        <w:sz w:val="17"/>
        <w:szCs w:val="17"/>
      </w:rPr>
      <w:t>For research</w:t>
    </w:r>
    <w:r>
      <w:rPr>
        <w:rFonts w:ascii="Arial" w:hAnsi="Arial" w:eastAsia="Arial" w:cs="Arial"/>
        <w:b/>
        <w:bCs/>
        <w:spacing w:val="20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4"/>
        <w:sz w:val="17"/>
        <w:szCs w:val="17"/>
      </w:rPr>
      <w:t>use only. Not for diagnostic</w:t>
    </w:r>
    <w:r>
      <w:rPr>
        <w:rFonts w:ascii="Arial" w:hAnsi="Arial" w:eastAsia="Arial" w:cs="Arial"/>
        <w:b/>
        <w:bCs/>
        <w:spacing w:val="14"/>
        <w:w w:val="101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4"/>
        <w:sz w:val="17"/>
        <w:szCs w:val="17"/>
      </w:rPr>
      <w:t>or therap</w:t>
    </w:r>
    <w:r>
      <w:rPr>
        <w:rFonts w:ascii="Arial" w:hAnsi="Arial" w:eastAsia="Arial" w:cs="Arial"/>
        <w:b/>
        <w:bCs/>
        <w:spacing w:val="3"/>
        <w:sz w:val="17"/>
        <w:szCs w:val="17"/>
      </w:rPr>
      <w:t>eutic</w:t>
    </w:r>
    <w:r>
      <w:rPr>
        <w:rFonts w:ascii="Arial" w:hAnsi="Arial" w:eastAsia="Arial" w:cs="Arial"/>
        <w:b/>
        <w:bCs/>
        <w:spacing w:val="14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3"/>
        <w:sz w:val="17"/>
        <w:szCs w:val="17"/>
      </w:rPr>
      <w:t>applications.</w:t>
    </w:r>
  </w:p>
  <w:p w14:paraId="5B2FFCB7">
    <w:pPr>
      <w:spacing w:line="363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2366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306</Words>
  <Characters>1981</Characters>
  <TotalTime>1</TotalTime>
  <ScaleCrop>false</ScaleCrop>
  <LinksUpToDate>false</LinksUpToDate>
  <CharactersWithSpaces>2281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2016-07-26T09:31:00Z</dcterms:created>
  <dc:creator>Limin Wang</dc:creator>
  <cp:lastModifiedBy>周亿福</cp:lastModifiedBy>
  <dcterms:modified xsi:type="dcterms:W3CDTF">2025-08-14T06:17:13Z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9A41C02222694FA09475E2BE56F8A8A2_12</vt:lpwstr>
  </property>
</Properties>
</file>